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728" w:rsidRPr="000F359A" w:rsidRDefault="00955728" w:rsidP="00955728">
      <w:pPr>
        <w:spacing w:after="0" w:line="240" w:lineRule="auto"/>
        <w:rPr>
          <w:rFonts w:ascii="Times New Roman" w:hAnsi="Times New Roman" w:cs="Times New Roman"/>
          <w:sz w:val="28"/>
          <w:szCs w:val="28"/>
        </w:rPr>
      </w:pPr>
      <w:r w:rsidRPr="000F359A">
        <w:rPr>
          <w:rFonts w:ascii="Times New Roman" w:hAnsi="Times New Roman" w:cs="Times New Roman"/>
          <w:b/>
          <w:bCs/>
          <w:noProof/>
          <w:sz w:val="28"/>
          <w:szCs w:val="28"/>
        </w:rPr>
        <w:drawing>
          <wp:anchor distT="0" distB="0" distL="114300" distR="114300" simplePos="0" relativeHeight="251659264" behindDoc="1" locked="0" layoutInCell="1" allowOverlap="1">
            <wp:simplePos x="0" y="0"/>
            <wp:positionH relativeFrom="column">
              <wp:posOffset>-113665</wp:posOffset>
            </wp:positionH>
            <wp:positionV relativeFrom="paragraph">
              <wp:posOffset>38100</wp:posOffset>
            </wp:positionV>
            <wp:extent cx="938530" cy="937895"/>
            <wp:effectExtent l="19050" t="0" r="0" b="0"/>
            <wp:wrapNone/>
            <wp:docPr id="1" name="Picture 2" descr="floarea-de-colt-trans-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area-de-colt-trans-VERDE"/>
                    <pic:cNvPicPr>
                      <a:picLocks noChangeAspect="1" noChangeArrowheads="1"/>
                    </pic:cNvPicPr>
                  </pic:nvPicPr>
                  <pic:blipFill>
                    <a:blip r:embed="rId4"/>
                    <a:srcRect/>
                    <a:stretch>
                      <a:fillRect/>
                    </a:stretch>
                  </pic:blipFill>
                  <pic:spPr bwMode="auto">
                    <a:xfrm>
                      <a:off x="0" y="0"/>
                      <a:ext cx="938530" cy="937895"/>
                    </a:xfrm>
                    <a:prstGeom prst="rect">
                      <a:avLst/>
                    </a:prstGeom>
                    <a:noFill/>
                    <a:ln w="9525">
                      <a:noFill/>
                      <a:miter lim="800000"/>
                      <a:headEnd/>
                      <a:tailEnd/>
                    </a:ln>
                  </pic:spPr>
                </pic:pic>
              </a:graphicData>
            </a:graphic>
          </wp:anchor>
        </w:drawing>
      </w:r>
      <w:r>
        <w:rPr>
          <w:rFonts w:ascii="Times New Roman" w:hAnsi="Times New Roman" w:cs="Times New Roman"/>
          <w:b/>
          <w:bCs/>
          <w:sz w:val="28"/>
          <w:szCs w:val="28"/>
        </w:rPr>
        <w:t xml:space="preserve">                      </w:t>
      </w:r>
      <w:r w:rsidRPr="000F359A">
        <w:rPr>
          <w:rFonts w:ascii="Times New Roman" w:hAnsi="Times New Roman" w:cs="Times New Roman"/>
          <w:b/>
          <w:bCs/>
          <w:sz w:val="28"/>
          <w:szCs w:val="28"/>
        </w:rPr>
        <w:t>Grădinița cu Program Prelungit nr.6 Satu Mare</w:t>
      </w:r>
    </w:p>
    <w:p w:rsidR="00955728" w:rsidRPr="000F359A" w:rsidRDefault="00955728" w:rsidP="00955728">
      <w:pPr>
        <w:spacing w:after="0" w:line="240" w:lineRule="auto"/>
        <w:ind w:leftChars="721" w:left="2570" w:hangingChars="350" w:hanging="984"/>
        <w:rPr>
          <w:rFonts w:ascii="Times New Roman" w:hAnsi="Times New Roman" w:cs="Times New Roman"/>
          <w:b/>
          <w:bCs/>
          <w:sz w:val="28"/>
          <w:szCs w:val="28"/>
        </w:rPr>
      </w:pPr>
      <w:r w:rsidRPr="000F359A">
        <w:rPr>
          <w:rFonts w:ascii="Times New Roman" w:hAnsi="Times New Roman" w:cs="Times New Roman"/>
          <w:b/>
          <w:bCs/>
          <w:sz w:val="28"/>
          <w:szCs w:val="28"/>
        </w:rPr>
        <w:t>Satu Mare, str. Luceafărului, nr.23</w:t>
      </w:r>
    </w:p>
    <w:p w:rsidR="00955728" w:rsidRPr="000F359A" w:rsidRDefault="00955728" w:rsidP="00955728">
      <w:pPr>
        <w:spacing w:after="0" w:line="240" w:lineRule="auto"/>
        <w:ind w:left="720" w:firstLine="720"/>
        <w:rPr>
          <w:rFonts w:ascii="Times New Roman" w:hAnsi="Times New Roman" w:cs="Times New Roman"/>
          <w:b/>
          <w:bCs/>
          <w:sz w:val="28"/>
          <w:szCs w:val="28"/>
        </w:rPr>
      </w:pPr>
      <w:r w:rsidRPr="000F359A">
        <w:rPr>
          <w:rFonts w:ascii="Times New Roman" w:hAnsi="Times New Roman" w:cs="Times New Roman"/>
          <w:b/>
          <w:bCs/>
          <w:sz w:val="28"/>
          <w:szCs w:val="28"/>
        </w:rPr>
        <w:t xml:space="preserve">  Tel/fax: 0261-768508/ 0261-768507</w:t>
      </w:r>
    </w:p>
    <w:p w:rsidR="00955728" w:rsidRDefault="00955728" w:rsidP="00955728">
      <w:pPr>
        <w:pStyle w:val="Frspaiere"/>
        <w:ind w:firstLineChars="626" w:firstLine="1760"/>
        <w:rPr>
          <w:rStyle w:val="Hyperlink"/>
          <w:rFonts w:ascii="Times New Roman" w:hAnsi="Times New Roman"/>
          <w:b/>
          <w:bCs/>
          <w:sz w:val="28"/>
          <w:szCs w:val="28"/>
          <w:lang w:val="ro-RO"/>
        </w:rPr>
      </w:pPr>
      <w:r w:rsidRPr="000F359A">
        <w:rPr>
          <w:rFonts w:ascii="Times New Roman" w:hAnsi="Times New Roman"/>
          <w:b/>
          <w:bCs/>
          <w:sz w:val="28"/>
          <w:szCs w:val="28"/>
          <w:lang w:val="ro-RO"/>
        </w:rPr>
        <w:t>E-</w:t>
      </w:r>
      <w:r w:rsidRPr="000F359A">
        <w:rPr>
          <w:rFonts w:ascii="Times New Roman" w:hAnsi="Times New Roman"/>
          <w:b/>
          <w:bCs/>
          <w:sz w:val="28"/>
          <w:szCs w:val="28"/>
        </w:rPr>
        <w:t xml:space="preserve">mail: </w:t>
      </w:r>
      <w:hyperlink r:id="rId5" w:history="1">
        <w:r w:rsidRPr="000F359A">
          <w:rPr>
            <w:rStyle w:val="Hyperlink"/>
            <w:rFonts w:ascii="Times New Roman" w:hAnsi="Times New Roman"/>
            <w:b/>
            <w:bCs/>
            <w:sz w:val="28"/>
            <w:szCs w:val="28"/>
          </w:rPr>
          <w:t>gpp6sm@yahoo.com</w:t>
        </w:r>
      </w:hyperlink>
      <w:r w:rsidRPr="000F359A">
        <w:rPr>
          <w:rStyle w:val="Hyperlink"/>
          <w:rFonts w:ascii="Times New Roman" w:hAnsi="Times New Roman"/>
          <w:b/>
          <w:bCs/>
          <w:sz w:val="28"/>
          <w:szCs w:val="28"/>
          <w:lang w:val="ro-RO"/>
        </w:rPr>
        <w:t xml:space="preserve">   </w:t>
      </w:r>
    </w:p>
    <w:p w:rsidR="00955728" w:rsidRPr="00955728" w:rsidRDefault="00955728" w:rsidP="00955728">
      <w:pPr>
        <w:pStyle w:val="Frspaiere"/>
        <w:ind w:firstLineChars="626" w:firstLine="1760"/>
        <w:rPr>
          <w:rFonts w:ascii="Times New Roman" w:hAnsi="Times New Roman"/>
          <w:b/>
          <w:bCs/>
          <w:color w:val="0563C1"/>
          <w:sz w:val="28"/>
          <w:szCs w:val="28"/>
          <w:u w:val="single"/>
          <w:lang w:val="ro-RO"/>
        </w:rPr>
      </w:pPr>
      <w:r w:rsidRPr="000F359A">
        <w:rPr>
          <w:rStyle w:val="Hyperlink"/>
          <w:rFonts w:ascii="Times New Roman" w:hAnsi="Times New Roman"/>
          <w:b/>
          <w:bCs/>
          <w:sz w:val="28"/>
          <w:szCs w:val="28"/>
        </w:rPr>
        <w:t xml:space="preserve">Web: </w:t>
      </w:r>
      <w:hyperlink r:id="rId6" w:history="1">
        <w:r w:rsidRPr="000F359A">
          <w:rPr>
            <w:rStyle w:val="Hyperlink"/>
            <w:rFonts w:ascii="Times New Roman" w:hAnsi="Times New Roman"/>
            <w:b/>
            <w:bCs/>
            <w:sz w:val="28"/>
            <w:szCs w:val="28"/>
          </w:rPr>
          <w:t>www.g6sm.ro</w:t>
        </w:r>
      </w:hyperlink>
      <w:r>
        <w:tab/>
      </w:r>
      <w:r>
        <w:tab/>
      </w:r>
      <w:r>
        <w:tab/>
      </w:r>
      <w:r>
        <w:tab/>
        <w:t xml:space="preserve">Nr.  </w:t>
      </w:r>
      <w:r w:rsidR="00E350C4">
        <w:t>48</w:t>
      </w:r>
      <w:r>
        <w:t xml:space="preserve">     /</w:t>
      </w:r>
      <w:r w:rsidR="00E350C4">
        <w:t>02.02.2026</w:t>
      </w:r>
    </w:p>
    <w:p w:rsidR="00955728" w:rsidRDefault="00955728" w:rsidP="00955728">
      <w:pPr>
        <w:jc w:val="center"/>
        <w:rPr>
          <w:b/>
        </w:rPr>
      </w:pPr>
      <w:r>
        <w:rPr>
          <w:b/>
        </w:rPr>
        <w:t>Aprobat in CA:</w:t>
      </w:r>
      <w:r w:rsidR="00AB02CA">
        <w:rPr>
          <w:b/>
        </w:rPr>
        <w:t xml:space="preserve"> PV. Nr.74/02.02.2026</w:t>
      </w:r>
    </w:p>
    <w:p w:rsidR="00A63653" w:rsidRPr="00955728" w:rsidRDefault="00A63653" w:rsidP="00955728">
      <w:pPr>
        <w:jc w:val="center"/>
        <w:rPr>
          <w:b/>
        </w:rPr>
      </w:pPr>
      <w:r w:rsidRPr="00955728">
        <w:rPr>
          <w:b/>
        </w:rPr>
        <w:t>ANEXĂ LA REGULAMENTUL DE ORGANIZARE ȘI FUNCȚIONARE</w:t>
      </w:r>
    </w:p>
    <w:p w:rsidR="00A63653" w:rsidRPr="00955728" w:rsidRDefault="00A63653" w:rsidP="00955728">
      <w:pPr>
        <w:jc w:val="center"/>
        <w:rPr>
          <w:rFonts w:ascii="Times New Roman" w:hAnsi="Times New Roman" w:cs="Times New Roman"/>
          <w:sz w:val="28"/>
          <w:szCs w:val="28"/>
        </w:rPr>
      </w:pPr>
    </w:p>
    <w:p w:rsidR="00A63653" w:rsidRPr="00955728" w:rsidRDefault="00A63653" w:rsidP="00955728">
      <w:pPr>
        <w:jc w:val="center"/>
        <w:rPr>
          <w:rFonts w:ascii="Times New Roman" w:hAnsi="Times New Roman" w:cs="Times New Roman"/>
          <w:sz w:val="28"/>
          <w:szCs w:val="28"/>
        </w:rPr>
      </w:pPr>
      <w:r w:rsidRPr="00955728">
        <w:rPr>
          <w:rFonts w:ascii="Times New Roman" w:hAnsi="Times New Roman" w:cs="Times New Roman"/>
          <w:sz w:val="28"/>
          <w:szCs w:val="28"/>
        </w:rPr>
        <w:t>privind accesul copiilor cu cerințe educaționale speciale (CES) și al însoțitorilor/facilitatorilor acestora</w:t>
      </w:r>
    </w:p>
    <w:p w:rsidR="00A63653" w:rsidRDefault="00A63653" w:rsidP="00A63653"/>
    <w:p w:rsidR="00A63653" w:rsidRDefault="00955728" w:rsidP="00A63653">
      <w:r>
        <w:t>CAPITOLUL I</w:t>
      </w:r>
    </w:p>
    <w:p w:rsidR="00A63653" w:rsidRDefault="00955728" w:rsidP="00A63653">
      <w:r>
        <w:t>Dispoziții generale</w:t>
      </w:r>
    </w:p>
    <w:p w:rsidR="00A63653" w:rsidRDefault="00955728" w:rsidP="00A63653">
      <w:r>
        <w:t>Art. 1 – Temei legal</w:t>
      </w:r>
    </w:p>
    <w:p w:rsidR="00A63653" w:rsidRDefault="00A63653" w:rsidP="00A63653"/>
    <w:p w:rsidR="00A63653" w:rsidRDefault="00A63653" w:rsidP="00A63653">
      <w:r>
        <w:t xml:space="preserve">Prezenta anexă este elaborată în conformitate cu prevederile legislației naționale privind educația incluzivă, protecția și promovarea drepturilor copilului, precum și ale regulamentelor emise de Ministerul Educației, inclusiv ROFUIP în vigoare, precum și cu actele normative incidente privind protecția persoanelor cu </w:t>
      </w:r>
      <w:proofErr w:type="spellStart"/>
      <w:r>
        <w:t>dizabilități</w:t>
      </w:r>
      <w:proofErr w:type="spellEnd"/>
      <w:r>
        <w:t xml:space="preserve"> și protecți</w:t>
      </w:r>
      <w:r w:rsidR="00955728">
        <w:t>a datelor cu caracter personal.</w:t>
      </w:r>
    </w:p>
    <w:p w:rsidR="00A63653" w:rsidRDefault="00955728" w:rsidP="00A63653">
      <w:r>
        <w:t>Art. 2 – Obiectul reglementării</w:t>
      </w:r>
    </w:p>
    <w:p w:rsidR="00A63653" w:rsidRDefault="00A63653" w:rsidP="00A63653">
      <w:r>
        <w:t>(1) Prezenta anexă reglementează condițiile de acces în unitatea de învățământ preșcolar al:</w:t>
      </w:r>
    </w:p>
    <w:p w:rsidR="00A63653" w:rsidRDefault="00A63653" w:rsidP="00A63653">
      <w:r>
        <w:t>a) copiilor cu cerințe educaționale speciale (CES);</w:t>
      </w:r>
    </w:p>
    <w:p w:rsidR="00A63653" w:rsidRDefault="00A63653" w:rsidP="00A63653">
      <w:r>
        <w:t>b) însoțitorilor/facilitatorilor desemna</w:t>
      </w:r>
      <w:r w:rsidR="00955728">
        <w:t>ți pentru sprijinirea acestora.</w:t>
      </w:r>
    </w:p>
    <w:p w:rsidR="00A63653" w:rsidRDefault="00A63653" w:rsidP="00A63653">
      <w:r>
        <w:t>(2) Măsurile prevăzute au ca scop asigurarea dreptului la educație incluzivă, în condiții de siguranță, nediscriminare și respectare a interesului superior al copilului.</w:t>
      </w:r>
    </w:p>
    <w:p w:rsidR="00A63653" w:rsidRDefault="00A63653" w:rsidP="00A63653">
      <w:r>
        <w:t>CAPITOLUL II</w:t>
      </w:r>
    </w:p>
    <w:p w:rsidR="00A63653" w:rsidRDefault="00A63653" w:rsidP="00A63653">
      <w:r>
        <w:t>Documente și p</w:t>
      </w:r>
      <w:r w:rsidR="00955728">
        <w:t>rocedură privind copilul cu CES</w:t>
      </w:r>
    </w:p>
    <w:p w:rsidR="00A63653" w:rsidRDefault="00A63653" w:rsidP="00A63653">
      <w:r>
        <w:t>A</w:t>
      </w:r>
      <w:r w:rsidR="00955728">
        <w:t>rt. 3 – Documente justificative</w:t>
      </w:r>
    </w:p>
    <w:p w:rsidR="00A63653" w:rsidRDefault="00A63653" w:rsidP="00A63653">
      <w:r>
        <w:t xml:space="preserve">(1) Înscrierea și integrarea copilului cu CES în unitate se realizează pe baza următoarelor documente, depuse de </w:t>
      </w:r>
      <w:r w:rsidR="00955728">
        <w:t>părintele/reprezentantul legal:</w:t>
      </w:r>
    </w:p>
    <w:p w:rsidR="00A63653" w:rsidRDefault="00A63653" w:rsidP="00A63653">
      <w:r>
        <w:t>a) Certificat de orientare școlară și profesională emis de Centrul Județean de Resurse și Asistență Educațională (CJRAE) / CMBRAE, după caz;</w:t>
      </w:r>
    </w:p>
    <w:p w:rsidR="00A63653" w:rsidRDefault="00A63653" w:rsidP="00A63653">
      <w:r>
        <w:lastRenderedPageBreak/>
        <w:t>b) Certificat de încadrare în grad de handicap, emis de Direcția Generală de Asistență Socială și Protecția Copilului (DGASPC), dacă este cazul;</w:t>
      </w:r>
    </w:p>
    <w:p w:rsidR="00A63653" w:rsidRDefault="00A63653" w:rsidP="00A63653">
      <w:r>
        <w:t>c) Recomandări/rapoarte de evaluare complexă;</w:t>
      </w:r>
    </w:p>
    <w:p w:rsidR="00A63653" w:rsidRDefault="00A63653" w:rsidP="00A63653">
      <w:r>
        <w:t>d) Documente medicale relevante;</w:t>
      </w:r>
    </w:p>
    <w:p w:rsidR="00A63653" w:rsidRDefault="00A63653" w:rsidP="00A63653">
      <w:r>
        <w:t>e) Alte documente prev</w:t>
      </w:r>
      <w:r w:rsidR="00955728">
        <w:t>ăzute de legislația în vigoare.</w:t>
      </w:r>
    </w:p>
    <w:p w:rsidR="00A63653" w:rsidRDefault="00A63653" w:rsidP="00A63653">
      <w:r>
        <w:t>(2) Documentele se înregistrează la secretariatul unității și se păstrează la dosarul educațional al copilului, cu respectarea norm</w:t>
      </w:r>
      <w:r w:rsidR="00955728">
        <w:t>elor privind protecția datelor.</w:t>
      </w:r>
    </w:p>
    <w:p w:rsidR="00A63653" w:rsidRDefault="00955728" w:rsidP="00A63653">
      <w:r>
        <w:t>CAPITOLUL III</w:t>
      </w:r>
    </w:p>
    <w:p w:rsidR="00A63653" w:rsidRDefault="00A63653" w:rsidP="00A63653">
      <w:r>
        <w:t>Accesul îns</w:t>
      </w:r>
      <w:r w:rsidR="00955728">
        <w:t>oțitorului/facilitatorului</w:t>
      </w:r>
    </w:p>
    <w:p w:rsidR="00A63653" w:rsidRDefault="00A63653" w:rsidP="00A63653">
      <w:r>
        <w:t>Art.</w:t>
      </w:r>
      <w:r w:rsidR="00955728">
        <w:t xml:space="preserve"> 4 – Condiții generale de acces</w:t>
      </w:r>
    </w:p>
    <w:p w:rsidR="00A63653" w:rsidRDefault="00A63653" w:rsidP="00A63653">
      <w:r>
        <w:t xml:space="preserve">(1) Accesul însoțitorului/facilitatorului în incinta unității se realizează numai cu aprobarea scrisă a directorului, </w:t>
      </w:r>
      <w:r w:rsidR="00955728">
        <w:t>în baza documentației complete.</w:t>
      </w:r>
    </w:p>
    <w:p w:rsidR="00A63653" w:rsidRDefault="00A63653" w:rsidP="00A63653">
      <w:r>
        <w:t>(2) Prezența acestuia are caracter strict funcțional și este limitată la activitățile necesare sp</w:t>
      </w:r>
      <w:r w:rsidR="00955728">
        <w:t>rijinirii copilului beneficiar.</w:t>
      </w:r>
    </w:p>
    <w:p w:rsidR="00A63653" w:rsidRDefault="00A63653" w:rsidP="00A63653">
      <w:r>
        <w:t>(3) Însoțitorul/facilitatorul nu dobândește calitatea de personal al unității și nu poate interveni în actul didactic, în procesul de evaluare sau în activitățile a</w:t>
      </w:r>
      <w:r w:rsidR="00955728">
        <w:t>dministrative ale grupei.</w:t>
      </w:r>
    </w:p>
    <w:p w:rsidR="00A63653" w:rsidRDefault="00A63653" w:rsidP="00A63653">
      <w:r>
        <w:t>Art. 5 – Documente necesa</w:t>
      </w:r>
      <w:r w:rsidR="00955728">
        <w:t>re pentru însoțitor/facilitator</w:t>
      </w:r>
    </w:p>
    <w:p w:rsidR="00A63653" w:rsidRDefault="00A63653" w:rsidP="00A63653">
      <w:r>
        <w:t xml:space="preserve">În vederea aprobării accesului, </w:t>
      </w:r>
      <w:r w:rsidR="00955728">
        <w:t>se depun următoarele documente:</w:t>
      </w:r>
    </w:p>
    <w:p w:rsidR="00A63653" w:rsidRDefault="00A63653" w:rsidP="00A63653">
      <w:r>
        <w:t>a) Cerere scrisă din partea părintelui/reprezentantului legal;</w:t>
      </w:r>
    </w:p>
    <w:p w:rsidR="00A63653" w:rsidRDefault="00A63653" w:rsidP="00A63653">
      <w:r>
        <w:t>b) Copie act de identitate;</w:t>
      </w:r>
    </w:p>
    <w:p w:rsidR="00A63653" w:rsidRDefault="00A63653" w:rsidP="00A63653">
      <w:r>
        <w:t>c) Cazier judiciar valabil;</w:t>
      </w:r>
    </w:p>
    <w:p w:rsidR="00A63653" w:rsidRDefault="00A63653" w:rsidP="00A63653">
      <w:r>
        <w:t>d) Adeverință medicală eliberată de medicul de familie/medic specialist, care atestă starea de sănătate corespunzătoare;</w:t>
      </w:r>
    </w:p>
    <w:p w:rsidR="00A63653" w:rsidRDefault="00A63653" w:rsidP="00A63653">
      <w:r>
        <w:t>e) Aviz psihologic, dacă este cazul;</w:t>
      </w:r>
    </w:p>
    <w:p w:rsidR="00A63653" w:rsidRDefault="00A63653" w:rsidP="00A63653">
      <w:r>
        <w:t>f) Document justificativ privind raportul juridic (contract individual de muncă, contract de prestări servicii, dispoziție emisă de DGASPC etc.);</w:t>
      </w:r>
    </w:p>
    <w:p w:rsidR="00A63653" w:rsidRDefault="00A63653" w:rsidP="00A63653">
      <w:r>
        <w:t>g) Declarație pe propria răspundere privind respectarea regulamentelor interne, a normelor de securitate și sănătate în m</w:t>
      </w:r>
      <w:r w:rsidR="00955728">
        <w:t>uncă, PSI și protecția datelor.</w:t>
      </w:r>
    </w:p>
    <w:p w:rsidR="00A63653" w:rsidRDefault="00955728" w:rsidP="00A63653">
      <w:r>
        <w:t>CAPITOLUL IV</w:t>
      </w:r>
    </w:p>
    <w:p w:rsidR="00A63653" w:rsidRDefault="00955728" w:rsidP="00A63653">
      <w:r>
        <w:t>Drepturi și obligații</w:t>
      </w:r>
    </w:p>
    <w:p w:rsidR="00A63653" w:rsidRDefault="00A63653" w:rsidP="00A63653">
      <w:r>
        <w:t>Art. 6 – Obligațiil</w:t>
      </w:r>
      <w:r w:rsidR="00955728">
        <w:t>e însoțitorului/facilitatorului</w:t>
      </w:r>
    </w:p>
    <w:p w:rsidR="00A63653" w:rsidRDefault="00A63653" w:rsidP="00A63653">
      <w:r>
        <w:lastRenderedPageBreak/>
        <w:t>Însoțitorul/facilitatorul are următoarele obligații:</w:t>
      </w:r>
    </w:p>
    <w:p w:rsidR="00A63653" w:rsidRDefault="00A63653" w:rsidP="00A63653"/>
    <w:p w:rsidR="00A63653" w:rsidRDefault="00A63653" w:rsidP="00A63653">
      <w:r>
        <w:t>a) să își desfășoare activitatea exclusiv în interesul copilului beneficiar;</w:t>
      </w:r>
    </w:p>
    <w:p w:rsidR="00A63653" w:rsidRDefault="00A63653" w:rsidP="00A63653">
      <w:r>
        <w:t>b) să respecte indicațiile cadrului didactic și ale conducerii unității;</w:t>
      </w:r>
    </w:p>
    <w:p w:rsidR="00A63653" w:rsidRDefault="00A63653" w:rsidP="00A63653">
      <w:r>
        <w:t>c) să păstreze confidențialitatea datelor și informațiilor privind copiii și personalul;</w:t>
      </w:r>
    </w:p>
    <w:p w:rsidR="00A63653" w:rsidRDefault="00A63653" w:rsidP="00A63653">
      <w:r>
        <w:t>d) să nu fotografieze, filmeze sau înregistreze activități fără aprobarea scrisă a conducerii;</w:t>
      </w:r>
    </w:p>
    <w:p w:rsidR="00A63653" w:rsidRDefault="00A63653" w:rsidP="00A63653">
      <w:r>
        <w:t>e) să respecte programul și regulile interne al</w:t>
      </w:r>
      <w:r w:rsidR="00955728">
        <w:t>e unității.</w:t>
      </w:r>
    </w:p>
    <w:p w:rsidR="00A63653" w:rsidRDefault="00955728" w:rsidP="00A63653">
      <w:r>
        <w:t>Art. 7 – Răspundere</w:t>
      </w:r>
    </w:p>
    <w:p w:rsidR="00A63653" w:rsidRDefault="00A63653" w:rsidP="00A63653">
      <w:r>
        <w:t>(1) Însoțitorul/facilitatorul răspunde civil și, după caz, penal pentru faptele</w:t>
      </w:r>
      <w:r w:rsidR="00955728">
        <w:t xml:space="preserve"> săvârșite în incinta unității.</w:t>
      </w:r>
    </w:p>
    <w:p w:rsidR="00A63653" w:rsidRDefault="00A63653" w:rsidP="00A63653">
      <w:r>
        <w:t>(2) Nerespectarea prevederilor prezentei anexe poate determina suspendarea sau retragerea dreptului de acce</w:t>
      </w:r>
      <w:r w:rsidR="00955728">
        <w:t>s, prin decizie a directorului.</w:t>
      </w:r>
    </w:p>
    <w:p w:rsidR="00A63653" w:rsidRDefault="00955728" w:rsidP="00A63653">
      <w:r>
        <w:t>CAPITOLUL V</w:t>
      </w:r>
    </w:p>
    <w:p w:rsidR="00A63653" w:rsidRDefault="00955728" w:rsidP="00A63653">
      <w:r>
        <w:t>Dispoziții finale</w:t>
      </w:r>
    </w:p>
    <w:p w:rsidR="00A63653" w:rsidRDefault="00955728" w:rsidP="00A63653">
      <w:r>
        <w:t>Art. 8</w:t>
      </w:r>
    </w:p>
    <w:p w:rsidR="00A63653" w:rsidRDefault="00A63653" w:rsidP="00A63653">
      <w:r>
        <w:t>(1) Prezenta anexă face parte integrantă din Regulamentul de Organiz</w:t>
      </w:r>
      <w:r w:rsidR="00955728">
        <w:t>are și Funcționare al unității.</w:t>
      </w:r>
    </w:p>
    <w:p w:rsidR="00A63653" w:rsidRDefault="00A63653" w:rsidP="00A63653">
      <w:r>
        <w:t>(2) Anexa se aprobă prin hotărâre a Consiliului de Administrație și intr</w:t>
      </w:r>
      <w:r w:rsidR="00955728">
        <w:t>ă în vigoare la data adoptării.</w:t>
      </w:r>
    </w:p>
    <w:p w:rsidR="00A63653" w:rsidRDefault="00A63653" w:rsidP="00A63653">
      <w:r>
        <w:t>(3) Orice situație neprevăzută se soluționează de către conducerea unității, cu respectarea cadrului legal în vigoare.</w:t>
      </w:r>
    </w:p>
    <w:p w:rsidR="00A63653" w:rsidRDefault="00A63653" w:rsidP="00A63653"/>
    <w:sectPr w:rsidR="00A636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63653"/>
    <w:rsid w:val="00955728"/>
    <w:rsid w:val="00A63653"/>
    <w:rsid w:val="00AB02CA"/>
    <w:rsid w:val="00E350C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qFormat/>
    <w:rsid w:val="00955728"/>
    <w:rPr>
      <w:color w:val="0563C1"/>
      <w:u w:val="single"/>
    </w:rPr>
  </w:style>
  <w:style w:type="paragraph" w:styleId="Frspaiere">
    <w:name w:val="No Spacing"/>
    <w:uiPriority w:val="1"/>
    <w:qFormat/>
    <w:rsid w:val="00955728"/>
    <w:pPr>
      <w:spacing w:after="0" w:line="240" w:lineRule="auto"/>
    </w:pPr>
    <w:rPr>
      <w:rFonts w:ascii="Calibri" w:eastAsia="Calibri"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6sm.ro" TargetMode="External"/><Relationship Id="rId5" Type="http://schemas.openxmlformats.org/officeDocument/2006/relationships/hyperlink" Target="mailto:gpp6sm@yahoo.com" TargetMode="External"/><Relationship Id="rId4"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671</Words>
  <Characters>3896</Characters>
  <Application>Microsoft Office Word</Application>
  <DocSecurity>0</DocSecurity>
  <Lines>32</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2026-03-03T10:19:00Z</cp:lastPrinted>
  <dcterms:created xsi:type="dcterms:W3CDTF">2026-03-03T09:06:00Z</dcterms:created>
  <dcterms:modified xsi:type="dcterms:W3CDTF">2026-03-03T10:26:00Z</dcterms:modified>
</cp:coreProperties>
</file>